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6D2D6CB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FC77FA">
        <w:rPr>
          <w:rFonts w:ascii="Arial" w:hAnsi="Arial" w:cs="Arial"/>
          <w:b/>
          <w:i/>
          <w:color w:val="3C3C3C"/>
          <w:sz w:val="18"/>
          <w:szCs w:val="18"/>
        </w:rPr>
        <w:t>1</w:t>
      </w:r>
      <w:r w:rsidR="0070454B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3F0F645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A0E5A" w:rsidRPr="00BA0E5A">
        <w:rPr>
          <w:rFonts w:ascii="Arial" w:hAnsi="Arial" w:cs="Arial"/>
          <w:b/>
          <w:bCs/>
          <w:sz w:val="18"/>
          <w:szCs w:val="18"/>
        </w:rPr>
        <w:t>Pompa infuzyjna 2 torowa ze statywem</w:t>
      </w:r>
      <w:r w:rsidR="00BA0E5A" w:rsidRPr="00BA0E5A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A0E5A">
        <w:rPr>
          <w:rFonts w:ascii="Arial" w:hAnsi="Arial" w:cs="Arial"/>
          <w:b/>
          <w:bCs/>
          <w:sz w:val="18"/>
          <w:szCs w:val="18"/>
        </w:rPr>
        <w:t>10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4875"/>
        <w:gridCol w:w="1925"/>
        <w:gridCol w:w="2078"/>
      </w:tblGrid>
      <w:tr w:rsidR="00B42BBB" w:rsidRPr="00B42BBB" w14:paraId="5D937DC9" w14:textId="77777777" w:rsidTr="00B42BBB">
        <w:trPr>
          <w:trHeight w:val="616"/>
        </w:trPr>
        <w:tc>
          <w:tcPr>
            <w:tcW w:w="913" w:type="dxa"/>
            <w:shd w:val="clear" w:color="auto" w:fill="auto"/>
            <w:vAlign w:val="center"/>
          </w:tcPr>
          <w:p w14:paraId="34369F1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2E81F472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8B9101" w14:textId="77777777" w:rsidR="00B42BBB" w:rsidRPr="00B42BBB" w:rsidRDefault="00B42BBB" w:rsidP="002F4470">
            <w:pPr>
              <w:pStyle w:val="NormalWeb"/>
              <w:snapToGrid w:val="0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746BA2A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</w:tc>
      </w:tr>
      <w:tr w:rsidR="00B42BBB" w:rsidRPr="00B42BBB" w14:paraId="6BC3470A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E4D70B1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BE92CF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6FB4F6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77E0D1F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FBC5611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3D89458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63CAE9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Pompa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dwustrzykawkowa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do podawania dożylnego sterowana elektronicznie. </w:t>
            </w:r>
          </w:p>
          <w:p w14:paraId="7102EEA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Nie dopuszcza się pomp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jednostrzykawkowych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łączonych w zestaw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8AA363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9AAC64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4A5D67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273EB5A0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BCA80E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Statyw na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kólkach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z blokadą i listwą  zasilającą do każdej oferowanej pompy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2BF3C1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D70031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80A8B5F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592136B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A3E1AF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Ochrona przed porażeniem, klasa I, typ CF, odporność na defibrylację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9D9746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7C149F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47A74AC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6791890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544049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Strzykawki mocowane od frontu, pod panelem sterowania. Mocowanie w pełni manualne. Możliwość zamontowania i przygotowania strzykawki przy wyłączonym urządzeniu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706C78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CFE151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E85F53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8DAA4B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6ED6C6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zamontowania strzykawki do każdego toru przy użyciu jednej ręki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646B2F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070B3A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5DEA08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79DE32D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F20D7AA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Ustawianie parametrów infuzji na kolorowym min. 4” ekranie dotykowym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FE75F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1FF689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2F7828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58C17AB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18D9B3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Zasilanie: AC 230V/50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oraz DC 12V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896E6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35DD0F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5AF2D40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C579E6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8654C8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Samodzielna praca bez zasilania sieciowego min. 5 h przy przepływie 5ml/h przy dwóch torach i min. 10h przy użyciu jednego toru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35D95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9DFD9F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39AF77D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3C67C43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3E0701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Czas ładowania akumulatorów do 100%:                   max. 10 godzin, przy włączonej pompie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39F077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DCAB64F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CB1ECB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3B1538A6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82B01A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Klasa ochrony: min. IP 44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EB8390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A231CF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87AC13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0D36DEC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A2C9BD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Funkcja Stand-by z możliwością programowania przez użytkownika w zakresie od 1 min do 99 godzin +/- 1 godzina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62C41F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40AAFB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198F2E1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6852F1F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11A215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Waga 2,3 kg +/- 0,5 kg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7D1948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43FDED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7B983B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63AA46F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671C93A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ustawienia trybu nocnego z określeniem czasu rozpoczęcia i zakończenia oraz z możliwością regulacji jasności ekranu na min. 10 poziomach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641844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A7D235D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9196319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2FF24CE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133A91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rozbudowy o tryb wzywania pielęgniarki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5EA77F5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F0896A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650331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DFB86D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571520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Wbudowane interfejs wielofunkcyjny DB15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65BC79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4FC628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BD558B3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DC4BAD9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F40C0D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Regulacja głośności: min. 10 poziomów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33DAA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A5899A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B64BA41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42B8CE3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6CC630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Ręczne i automatyczne blokowanie ekranu infuzji w celu wyeliminowania niekontrolowanych zmian parametrów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FF18B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A633DC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CB641DA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24A1A1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FD7D354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Wybór czasu automatycznej blokady ekranu min. 15s, 30s, 1 min, 2min, 5min, 10min, 30 min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D2F17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885512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EDA5BB5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7092C2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5EF937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Zasilanie pomp mocowanych poza stacją dokującą bezpośrednio z sieci energetycznej – nie dopuszcza się zasilacza zewnętrznego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F9C22E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29B392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84C7B7B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9FCFFF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9F4EFC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Uchwyt do przenoszenia na stałe związany z pompą – po złożeniu uchwyt nie wystaje poza obudowę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49EF2C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0D51F4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A4E91D6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92A0D5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D4E1BB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Wskaźnik pozostałego czasu pracy na zasilaniu akumulatorowym w postaci procentowej z piktogramem </w:t>
            </w:r>
            <w:r w:rsidRPr="00B42BBB">
              <w:rPr>
                <w:rFonts w:ascii="Arial" w:hAnsi="Arial" w:cs="Arial"/>
                <w:sz w:val="18"/>
                <w:szCs w:val="18"/>
              </w:rPr>
              <w:lastRenderedPageBreak/>
              <w:t>informującym o stanie baterii – ładowana czy pracująca na akumulatorze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8A3145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078" w:type="dxa"/>
            <w:shd w:val="clear" w:color="auto" w:fill="auto"/>
          </w:tcPr>
          <w:p w14:paraId="5890EC3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C6AB52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33D814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995660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resetowania ustawień użytkownika przed kolejną infuzją. Nie akceptuje się resetowania urządzenia do ustawień fabrycznych.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77B6F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B20F5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51D5D17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7AA745F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E35465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Automatyczna kalibracja dowolnej strzykawki bez użycia dodatkowych elementów z możliwością zapisania jej nazwy i parametrów bezpośrednio w  pompie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CD85770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9F49D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EB8F55A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2289083C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E0DA73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Zapisywanie w pamięci pomp do 200 kalibracji strzykawek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CD48C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10D828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B6F7880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08A9497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1738CC1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Napisy na wyświetlaczu w języku polskim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EBA8FF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3BF1327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79B1DA8" w14:textId="77777777" w:rsidTr="00B42BBB">
        <w:trPr>
          <w:trHeight w:val="286"/>
        </w:trPr>
        <w:tc>
          <w:tcPr>
            <w:tcW w:w="913" w:type="dxa"/>
            <w:shd w:val="clear" w:color="auto" w:fill="auto"/>
          </w:tcPr>
          <w:p w14:paraId="5E6EA77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561B0EF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rozbudowy o system centralnego monitoringu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71AF7C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0A1189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E12D1F0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14CDAF6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1CF593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Pompa skalibrowana do pracy ze strzykawkami o objętości 2/3, 5, 10, 20, 50/60 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9F49EE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BE4285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AAEF4D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30CAFF2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8C67C8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Co najmniej 6 trybów infuzji:</w:t>
            </w:r>
          </w:p>
          <w:p w14:paraId="11A427EE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podstawowy: ml/h</w:t>
            </w:r>
          </w:p>
          <w:p w14:paraId="619C9A9E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programowania leku na podstawie masy ciała pacjenta</w:t>
            </w:r>
          </w:p>
          <w:p w14:paraId="4FE49256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dawki indukcyjnej ( wysycającej )</w:t>
            </w:r>
          </w:p>
          <w:p w14:paraId="0ECEDF83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sekwencyjny z max. 5 etapami</w:t>
            </w:r>
          </w:p>
          <w:p w14:paraId="31615824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podnoszenia i opuszczania</w:t>
            </w:r>
          </w:p>
          <w:p w14:paraId="7E7F35B7" w14:textId="77777777" w:rsidR="00B42BBB" w:rsidRPr="00B42BBB" w:rsidRDefault="00B42BBB" w:rsidP="00C3274F">
            <w:pPr>
              <w:widowControl w:val="0"/>
              <w:numPr>
                <w:ilvl w:val="0"/>
                <w:numId w:val="2"/>
              </w:numPr>
              <w:autoSpaceDE w:val="0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TIVA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3CA91C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F308C4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1138A63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2AB3C5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E3751AB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Dokładność podaży: +/- 2%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44C218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7D6FCA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93C4450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5B0C1C6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906792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Programowanie podaży w co najmniej jednostkach stężenia: </w:t>
            </w:r>
          </w:p>
          <w:p w14:paraId="3863D904" w14:textId="77777777" w:rsidR="00B42BBB" w:rsidRPr="00B42BBB" w:rsidRDefault="00B42BBB" w:rsidP="00C3274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/ml,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ug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/ml, mg/ml, g/ml, U/ml,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kU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/ml, IU/ml, IE/ml,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mmol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>/ml, mol/ml, kcal/ml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89393B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06570E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85A0E6C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81567C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83A6E3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Programowanie podaży w co najmniej jednostkach tempa dozowania: </w:t>
            </w:r>
          </w:p>
          <w:p w14:paraId="34A42886" w14:textId="77777777" w:rsidR="00B42BBB" w:rsidRPr="00B42BBB" w:rsidRDefault="00B42BBB" w:rsidP="00C3274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ug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, mg, g, U, KU, IU, IE,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mmol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>, mol, kcal na min, h,</w:t>
            </w:r>
          </w:p>
          <w:p w14:paraId="18B37B04" w14:textId="77777777" w:rsidR="00B42BBB" w:rsidRPr="00B42BBB" w:rsidRDefault="00B42BBB" w:rsidP="00C3274F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ug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/kg/, mg/kg/, g/kg/, U/kg/, KU/kg/, IU/kg/, IE/kg/,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mmo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/kg/, mol/kg/,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kca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/kg/  na min, h,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83163B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17F89DB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09F263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1E80885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D9BB480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Regulowane progi ciśnienia w zakresie:                       </w:t>
            </w:r>
          </w:p>
          <w:p w14:paraId="696878B3" w14:textId="77777777" w:rsidR="00B42BBB" w:rsidRPr="00B42BBB" w:rsidRDefault="00B42BBB" w:rsidP="00C3274F">
            <w:pPr>
              <w:widowControl w:val="0"/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min. 150 – 900 mmHg</w:t>
            </w:r>
          </w:p>
          <w:p w14:paraId="67EB61F0" w14:textId="77777777" w:rsidR="00B42BBB" w:rsidRPr="00B42BBB" w:rsidRDefault="00B42BBB" w:rsidP="00C3274F">
            <w:pPr>
              <w:widowControl w:val="0"/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min. 4 poziomów </w:t>
            </w:r>
          </w:p>
          <w:p w14:paraId="4C191824" w14:textId="77777777" w:rsidR="00B42BBB" w:rsidRPr="00B42BBB" w:rsidRDefault="00B42BBB" w:rsidP="00C3274F">
            <w:pPr>
              <w:widowControl w:val="0"/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rozdzielczość min. 150 mmHg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C002C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636929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C76A089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348A5DD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3B3F6BC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Klawiatura numeryczna do wprowadzania wartości parametrów infuzji. Klawiatura wyświetlana na ekranie dotykowym.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16AD9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00EAD8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69FF0E8" w14:textId="77777777" w:rsidTr="00B42BBB">
        <w:trPr>
          <w:trHeight w:val="325"/>
        </w:trPr>
        <w:tc>
          <w:tcPr>
            <w:tcW w:w="913" w:type="dxa"/>
            <w:shd w:val="clear" w:color="auto" w:fill="auto"/>
            <w:vAlign w:val="center"/>
          </w:tcPr>
          <w:p w14:paraId="4DF99ED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7C4F1CE7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Bolus manualny konfigurowalny w menu pompy przed infuzją oraz automatyczny programowalny podczas infuzji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14CDB9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324D2C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E66DA01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30E9D51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5A0A0E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Rejestr zdarzeń z min. 5000 pozycjami z datą i godziną zdarzenia z zapisem każdej czynności wykonywanej na pompie.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49BE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E0C9D0F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A08158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6AC627A3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EEB78C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Mocowanie do rury pionowej i szyny poziomej przy pomocy elementu nie zintegrowanego z pompą. Możliwość demontażu w celu oszczędności miejsca i zmniejszenia wagi urządzenia.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86093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31B89E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EB173AE" w14:textId="77777777" w:rsidTr="00B42BBB">
        <w:trPr>
          <w:trHeight w:val="1306"/>
        </w:trPr>
        <w:tc>
          <w:tcPr>
            <w:tcW w:w="913" w:type="dxa"/>
            <w:shd w:val="clear" w:color="auto" w:fill="auto"/>
          </w:tcPr>
          <w:p w14:paraId="632F30E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4745C6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Automatyczna funkcja </w:t>
            </w:r>
            <w:proofErr w:type="spellStart"/>
            <w:r w:rsidRPr="00B42BBB">
              <w:rPr>
                <w:rFonts w:ascii="Arial" w:hAnsi="Arial" w:cs="Arial"/>
                <w:sz w:val="18"/>
                <w:szCs w:val="18"/>
              </w:rPr>
              <w:t>antybolus</w:t>
            </w:r>
            <w:proofErr w:type="spellEnd"/>
            <w:r w:rsidRPr="00B42BBB">
              <w:rPr>
                <w:rFonts w:ascii="Arial" w:hAnsi="Arial" w:cs="Arial"/>
                <w:sz w:val="18"/>
                <w:szCs w:val="18"/>
              </w:rPr>
              <w:t xml:space="preserve"> lub redukcji ciśnienia okluzji – zabezpieczenie przed podaniem niekontrolowanego bolusa po alarmie okluzji, ograniczenie bolusa &lt; 0,5 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0A65C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CEFC5F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4BB9621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8AFC8CE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AB7649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Zmiana szybkości infuzji, objętości do podania i czasu bez konieczności przerywania wlewu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9A17C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A8FB005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AC71CFC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B7B184D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C60112C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Zerowanie objętości podanej pacjentowi bez konieczności przerywania wlewu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7F9E98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6F436B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A897134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03AFC1BF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8A879D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Bolus podawany na żądanie w dowolnym momencie infuzji z wybraną szybkością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25691C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E228DD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FCD314D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5C89328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AC25960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Prędkość infuzji w zakresie od 0,01 – 99.99 ml/h programowana co 0,01 ml/h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CEB644E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D73F98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8B7190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4DE914A3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1C99DD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Prędkość infuzji w zakresie od 100 – 999.99 ml/h programowana co 0,1 ml/h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B9E94C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D37E36D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CC04CF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53488EE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19F91A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Zakres prędkości podaży bolusa 0,1-2000 ml/h dla strzykawki 50ml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1A2B98A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AB493C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12AAF38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855F128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0411596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Funkcja programowania objętości do podawania min. 0,01-9999 ml programowana co 0,01 ml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9ED3E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03318F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CB5ADB9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D90C100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548E5A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Ustawianie czasu infuzji w przedziale od 1 sekundy do 99 godzin 59 min 59 sekund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A02564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2C75DB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038D723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10D6847A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10A4EFF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Tryb mikro z możliwością ustawienia parametrów: min. 0,1 – 200 ml/h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95F686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E1F43D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9987BD5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3FA20A6B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46768742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Funkcja KVO z możliwością wyłączenia funkcji przez użytkownika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2FC764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0012E0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2237085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29D35C51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2C89634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Lista leków: min. 40 leków. </w:t>
            </w:r>
          </w:p>
          <w:p w14:paraId="2DB231B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Możliwość rozszerzenia o bibliotekę z własnymi wzorcami przez oprogramowanie zewnętrzne - min. 1900 leków z kategorią leku, nazwą leku, zalecanym zakresem dawki, stężenia oraz zakresem prędkości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2A5003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A4C59B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AB22D1A" w14:textId="77777777" w:rsidTr="00B42BBB">
        <w:trPr>
          <w:trHeight w:val="325"/>
        </w:trPr>
        <w:tc>
          <w:tcPr>
            <w:tcW w:w="913" w:type="dxa"/>
            <w:shd w:val="clear" w:color="auto" w:fill="auto"/>
          </w:tcPr>
          <w:p w14:paraId="14A06367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8122C0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Wyświetlacz umożliwiający wyświetlenie min. następujących informacji jednocześnie: nazwa podawanego leku, objętość do podania (VTBI), prędkość infuzji, ciśnienie w strzykawce w formie graficznej z wyszczególnieniem wybranego poziomu okluzji, stan naładowania akumulatora w formie procentowej lub pozostałego czasu pracy, nazwa oraz objętość używanej strzykawki, informacja czy wyświetlacz jest zablokowany czy odblokowany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2FD89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940C36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24FECB5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3079191C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 w:eastAsia="ar-SA"/>
              </w:rPr>
            </w:pPr>
          </w:p>
        </w:tc>
        <w:tc>
          <w:tcPr>
            <w:tcW w:w="4875" w:type="dxa"/>
            <w:shd w:val="clear" w:color="auto" w:fill="auto"/>
          </w:tcPr>
          <w:p w14:paraId="30C518C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Wskaźnik pracy pompy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540FFE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7F62F4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8B7CF92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5F38B8D0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1E16F45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Akustyczno – optyczny system alarmów i ostrzeżeń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A82283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A41004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30B59EE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1EA2F4A0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</w:tcPr>
          <w:p w14:paraId="6C8F56C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Hierarchia alarmów w zależności od ważności. Co najmniej trzy stopnie ważności alarmów o odmiennej sygnalizacji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00A9B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E7ADB5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6B13468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3585B110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4E69617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wstępny przed opróżnieniem strzykawki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18E4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EF1653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132FC08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273427B7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16E45839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pustej strzykawki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1933C9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4EE47EE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8FDC2D1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6BFB8842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2BA74583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przypominający o zatrzymanej infuzji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227E0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54A4278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C577B83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7A27AFA7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5F8A90CD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Alarm okluzji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E2017B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65FB2F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2659B83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232A3B84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2639F226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wstępny zbliżającego się rozładowania akumulatora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0B6251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7C76DF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B2A15A1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2F0BB035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E739CE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rozładowanego akumulatora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56ED82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5E278D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BA41851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688C86DF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721EFA7E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braku lub źle założonej strzykawki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7C99AD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C205CE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23DB6ED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0145895C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3B34F28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wstępny przed końcem infuzji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F0AF56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C835A9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685C3240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749F7A49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25233AB5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braku zasilania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8FF2B7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545F42D3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0AD11023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34009F49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16EB8BCA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Alarm przypominający o przerwanym procesie programowania infuzji z  możliwością programowania czasu przypomnienia min.  2, 5, 10, 15, 20, 30 min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5E76CF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400C667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50ED0C98" w14:textId="77777777" w:rsidTr="00B42BBB">
        <w:trPr>
          <w:trHeight w:val="318"/>
        </w:trPr>
        <w:tc>
          <w:tcPr>
            <w:tcW w:w="913" w:type="dxa"/>
            <w:shd w:val="clear" w:color="auto" w:fill="auto"/>
          </w:tcPr>
          <w:p w14:paraId="1164C604" w14:textId="77777777" w:rsidR="00B42BBB" w:rsidRPr="00B42BBB" w:rsidRDefault="00B42BBB" w:rsidP="002F4470">
            <w:pPr>
              <w:pStyle w:val="Adreszwrotnynakopercie"/>
              <w:numPr>
                <w:ilvl w:val="0"/>
                <w:numId w:val="5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75" w:type="dxa"/>
            <w:shd w:val="clear" w:color="auto" w:fill="auto"/>
          </w:tcPr>
          <w:p w14:paraId="620D3CE0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Czujnik prawidłowego założenia strzykawki w popychaczu tłoka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E54AC6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677248E5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3D876A9D" w14:textId="77777777" w:rsidTr="00B42BBB">
        <w:tc>
          <w:tcPr>
            <w:tcW w:w="913" w:type="dxa"/>
            <w:shd w:val="clear" w:color="auto" w:fill="auto"/>
          </w:tcPr>
          <w:p w14:paraId="310916E9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44C0AD81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Obsługa urządzenia i komunikaty w języku polskim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CD04EE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A42FADA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A9F431B" w14:textId="77777777" w:rsidTr="00B42BBB">
        <w:tc>
          <w:tcPr>
            <w:tcW w:w="9791" w:type="dxa"/>
            <w:gridSpan w:val="4"/>
            <w:shd w:val="clear" w:color="auto" w:fill="auto"/>
          </w:tcPr>
          <w:p w14:paraId="0F11E400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bCs/>
                <w:sz w:val="18"/>
                <w:szCs w:val="18"/>
              </w:rPr>
              <w:t>Inne wymagania</w:t>
            </w:r>
          </w:p>
        </w:tc>
      </w:tr>
      <w:tr w:rsidR="00B42BBB" w:rsidRPr="00B42BBB" w14:paraId="73A9C1A2" w14:textId="77777777" w:rsidTr="00B42BBB">
        <w:tc>
          <w:tcPr>
            <w:tcW w:w="913" w:type="dxa"/>
            <w:shd w:val="clear" w:color="auto" w:fill="auto"/>
          </w:tcPr>
          <w:p w14:paraId="4ADE5D04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4FA3462F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 xml:space="preserve">Instrukcja obsługi aparatu w języku polskim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5C849D9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FC5DC5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615CA26" w14:textId="77777777" w:rsidTr="00B42BBB">
        <w:tc>
          <w:tcPr>
            <w:tcW w:w="913" w:type="dxa"/>
            <w:shd w:val="clear" w:color="auto" w:fill="auto"/>
          </w:tcPr>
          <w:p w14:paraId="52765A16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216AF01C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Montaż, uruchomienie i szkolenie obsługi w cenie urządzenia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8A2E2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61948B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75ABEC78" w14:textId="77777777" w:rsidTr="00B42BBB">
        <w:tc>
          <w:tcPr>
            <w:tcW w:w="913" w:type="dxa"/>
            <w:shd w:val="clear" w:color="auto" w:fill="auto"/>
          </w:tcPr>
          <w:p w14:paraId="2CF8DEE3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628B7517" w14:textId="77777777" w:rsidR="00B42BBB" w:rsidRPr="00B42BBB" w:rsidRDefault="00B42BBB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Paszport techniczny do każdej pompy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17F043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0690C5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20EADDC5" w14:textId="77777777" w:rsidTr="00B42BBB">
        <w:tc>
          <w:tcPr>
            <w:tcW w:w="913" w:type="dxa"/>
            <w:shd w:val="clear" w:color="auto" w:fill="auto"/>
          </w:tcPr>
          <w:p w14:paraId="5F9BB998" w14:textId="77777777" w:rsidR="00B42BBB" w:rsidRPr="00B42BBB" w:rsidRDefault="00B42BBB" w:rsidP="00C3274F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5" w:type="dxa"/>
            <w:shd w:val="clear" w:color="auto" w:fill="auto"/>
            <w:vAlign w:val="center"/>
          </w:tcPr>
          <w:p w14:paraId="742BDBC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9A454B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2661217E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ED1A380" w14:textId="77777777" w:rsidTr="00B42BBB">
        <w:trPr>
          <w:trHeight w:val="389"/>
        </w:trPr>
        <w:tc>
          <w:tcPr>
            <w:tcW w:w="9791" w:type="dxa"/>
            <w:gridSpan w:val="4"/>
            <w:shd w:val="clear" w:color="auto" w:fill="auto"/>
          </w:tcPr>
          <w:p w14:paraId="6D4AA242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b/>
                <w:sz w:val="18"/>
                <w:szCs w:val="18"/>
              </w:rPr>
              <w:t>Warunki gwarancji i serwisu</w:t>
            </w:r>
          </w:p>
        </w:tc>
      </w:tr>
      <w:tr w:rsidR="00B42BBB" w:rsidRPr="00B42BBB" w14:paraId="01C922B1" w14:textId="77777777" w:rsidTr="00B42BBB">
        <w:tc>
          <w:tcPr>
            <w:tcW w:w="913" w:type="dxa"/>
            <w:shd w:val="clear" w:color="auto" w:fill="auto"/>
          </w:tcPr>
          <w:p w14:paraId="6B7A1501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71.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4584A75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Okres gwarancji na wszystkie elementy min. 24 miesiące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D14CF09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2574D9B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9DAC24A" w14:textId="77777777" w:rsidTr="00B42BBB">
        <w:tc>
          <w:tcPr>
            <w:tcW w:w="913" w:type="dxa"/>
            <w:shd w:val="clear" w:color="auto" w:fill="auto"/>
          </w:tcPr>
          <w:p w14:paraId="1C4487B7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72.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0C173FCB" w14:textId="77777777" w:rsidR="00B42BBB" w:rsidRPr="00B42BBB" w:rsidRDefault="00B42BBB" w:rsidP="002F4470">
            <w:pPr>
              <w:suppressLineNumbers/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F6FDB9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8709E24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1CDAAFD5" w14:textId="77777777" w:rsidTr="00B42BBB">
        <w:tc>
          <w:tcPr>
            <w:tcW w:w="913" w:type="dxa"/>
            <w:shd w:val="clear" w:color="auto" w:fill="auto"/>
          </w:tcPr>
          <w:p w14:paraId="685C67DF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73.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3C09D1CB" w14:textId="77777777" w:rsidR="00B42BBB" w:rsidRPr="00B42BBB" w:rsidRDefault="00B42BBB" w:rsidP="002F4470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C23548" w14:textId="77777777" w:rsidR="00B42BBB" w:rsidRPr="00B42BBB" w:rsidRDefault="00B42BBB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3882F18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BD4D909" w14:textId="77777777" w:rsidTr="00B42BBB">
        <w:trPr>
          <w:trHeight w:val="289"/>
        </w:trPr>
        <w:tc>
          <w:tcPr>
            <w:tcW w:w="913" w:type="dxa"/>
            <w:shd w:val="clear" w:color="auto" w:fill="auto"/>
          </w:tcPr>
          <w:p w14:paraId="0C983E72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lastRenderedPageBreak/>
              <w:t>74.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47A05A81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BCDE74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01AEEEF2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2BBB" w:rsidRPr="00B42BBB" w14:paraId="4A5F3295" w14:textId="77777777" w:rsidTr="00B42BBB">
        <w:trPr>
          <w:trHeight w:val="375"/>
        </w:trPr>
        <w:tc>
          <w:tcPr>
            <w:tcW w:w="913" w:type="dxa"/>
            <w:shd w:val="clear" w:color="auto" w:fill="auto"/>
          </w:tcPr>
          <w:p w14:paraId="3F970796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75.</w:t>
            </w:r>
          </w:p>
        </w:tc>
        <w:tc>
          <w:tcPr>
            <w:tcW w:w="4875" w:type="dxa"/>
            <w:shd w:val="clear" w:color="auto" w:fill="auto"/>
            <w:vAlign w:val="center"/>
          </w:tcPr>
          <w:p w14:paraId="200ACCC0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5DB19F" w14:textId="77777777" w:rsidR="00B42BBB" w:rsidRPr="00B42BBB" w:rsidRDefault="00B42BB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BB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078" w:type="dxa"/>
            <w:shd w:val="clear" w:color="auto" w:fill="auto"/>
          </w:tcPr>
          <w:p w14:paraId="7A7412B9" w14:textId="77777777" w:rsidR="00B42BBB" w:rsidRPr="00B42BBB" w:rsidRDefault="00B42BB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110512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42BBB"/>
    <w:rsid w:val="00BA0E5A"/>
    <w:rsid w:val="00BB695F"/>
    <w:rsid w:val="00BD475E"/>
    <w:rsid w:val="00C3274F"/>
    <w:rsid w:val="00C44D90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rsid w:val="00C3274F"/>
    <w:rPr>
      <w:rFonts w:ascii="Univers" w:hAnsi="Univers" w:cs="Univers"/>
      <w:szCs w:val="20"/>
      <w:lang w:val="en-GB"/>
    </w:rPr>
  </w:style>
  <w:style w:type="paragraph" w:customStyle="1" w:styleId="NormalWeb">
    <w:name w:val="Normal (Web)"/>
    <w:basedOn w:val="Normalny"/>
    <w:rsid w:val="00C3274F"/>
    <w:pPr>
      <w:widowControl w:val="0"/>
      <w:autoSpaceDE w:val="0"/>
      <w:spacing w:before="280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2023-03-21T10:04:00Z</dcterms:created>
  <dcterms:modified xsi:type="dcterms:W3CDTF">2023-03-21T10:04:00Z</dcterms:modified>
</cp:coreProperties>
</file>